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0C69" w14:textId="55AF04FE" w:rsidR="00EC59BA" w:rsidRDefault="00EC59BA" w:rsidP="00EC59B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B1C9A">
        <w:rPr>
          <w:b/>
          <w:bCs/>
          <w:sz w:val="28"/>
          <w:szCs w:val="28"/>
        </w:rPr>
        <w:t>General</w:t>
      </w:r>
      <w:r>
        <w:t xml:space="preserve">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ndian Education for All</w:t>
      </w:r>
      <w:r>
        <w:rPr>
          <w:b/>
          <w:bCs/>
          <w:sz w:val="28"/>
          <w:szCs w:val="28"/>
        </w:rPr>
        <w:t xml:space="preserve"> </w:t>
      </w:r>
      <w:r w:rsidRPr="005F0A6B">
        <w:rPr>
          <w:b/>
          <w:bCs/>
          <w:sz w:val="28"/>
          <w:szCs w:val="28"/>
        </w:rPr>
        <w:t>Planning Guide for School</w:t>
      </w:r>
      <w:r>
        <w:rPr>
          <w:b/>
          <w:bCs/>
          <w:sz w:val="28"/>
          <w:szCs w:val="28"/>
        </w:rPr>
        <w:t>s</w:t>
      </w:r>
    </w:p>
    <w:p w14:paraId="1E1F0370" w14:textId="77777777" w:rsidR="00EC59BA" w:rsidRDefault="00EC59BA" w:rsidP="00EC59BA">
      <w:pPr>
        <w:spacing w:after="240" w:line="240" w:lineRule="auto"/>
        <w:jc w:val="center"/>
        <w:rPr>
          <w:b/>
          <w:bCs/>
          <w:sz w:val="24"/>
          <w:szCs w:val="24"/>
        </w:rPr>
      </w:pPr>
      <w:r w:rsidRPr="0043606C">
        <w:rPr>
          <w:b/>
          <w:bCs/>
          <w:sz w:val="24"/>
          <w:szCs w:val="24"/>
        </w:rPr>
        <w:t>Planning guide for</w:t>
      </w:r>
      <w:r>
        <w:rPr>
          <w:b/>
          <w:bCs/>
          <w:sz w:val="24"/>
          <w:szCs w:val="24"/>
        </w:rPr>
        <w:t xml:space="preserve"> medium and small sized </w:t>
      </w:r>
      <w:r w:rsidRPr="0043606C">
        <w:rPr>
          <w:b/>
          <w:bCs/>
          <w:sz w:val="24"/>
          <w:szCs w:val="24"/>
        </w:rPr>
        <w:t>schools with few American Indian Students and not located near a reservation</w:t>
      </w:r>
      <w:r>
        <w:rPr>
          <w:b/>
          <w:bCs/>
          <w:sz w:val="24"/>
          <w:szCs w:val="24"/>
        </w:rPr>
        <w:t>:</w:t>
      </w:r>
    </w:p>
    <w:p w14:paraId="26D3AA9E" w14:textId="1A006D2C" w:rsidR="00EC59BA" w:rsidRPr="0043606C" w:rsidRDefault="00EC59BA" w:rsidP="00EC59B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guide identifies the essential IEFA supports for schools that are not near a reservation and don’t have a significant percentage of American Indian students.  The supports listed are aligned with those recommended for this type of school in the </w:t>
      </w:r>
      <w:r>
        <w:rPr>
          <w:sz w:val="24"/>
          <w:szCs w:val="24"/>
        </w:rPr>
        <w:t>Office of Public Instruction</w:t>
      </w:r>
      <w:r>
        <w:rPr>
          <w:sz w:val="24"/>
          <w:szCs w:val="24"/>
        </w:rPr>
        <w:t xml:space="preserve"> IEFA Framework.  It is designed for teaching staff and administrators to evaluate what efforts are currently being undertaken in each of the support areas, identify gaps or weaknesses, and develop a plan to address gaps and growth in support areas.  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1035"/>
        <w:gridCol w:w="2236"/>
        <w:gridCol w:w="1126"/>
        <w:gridCol w:w="912"/>
        <w:gridCol w:w="1133"/>
        <w:gridCol w:w="1305"/>
        <w:gridCol w:w="1822"/>
        <w:gridCol w:w="1147"/>
        <w:gridCol w:w="1709"/>
        <w:gridCol w:w="1340"/>
      </w:tblGrid>
      <w:tr w:rsidR="00EC59BA" w14:paraId="3962C4A2" w14:textId="77777777" w:rsidTr="00EC59BA">
        <w:tc>
          <w:tcPr>
            <w:tcW w:w="985" w:type="dxa"/>
            <w:shd w:val="clear" w:color="auto" w:fill="000000" w:themeFill="text1"/>
          </w:tcPr>
          <w:p w14:paraId="15654906" w14:textId="77777777" w:rsidR="00235C6E" w:rsidRDefault="00235C6E" w:rsidP="005F0A6B"/>
        </w:tc>
        <w:tc>
          <w:tcPr>
            <w:tcW w:w="2250" w:type="dxa"/>
            <w:shd w:val="clear" w:color="auto" w:fill="C5E0B3" w:themeFill="accent6" w:themeFillTint="66"/>
          </w:tcPr>
          <w:p w14:paraId="69AF19EF" w14:textId="77777777" w:rsidR="00235C6E" w:rsidRPr="003F1C5F" w:rsidRDefault="00235C6E" w:rsidP="005F0A6B">
            <w:pPr>
              <w:rPr>
                <w:b/>
                <w:bCs/>
              </w:rPr>
            </w:pPr>
            <w:r w:rsidRPr="003F1C5F">
              <w:rPr>
                <w:b/>
                <w:bCs/>
              </w:rPr>
              <w:t>Support</w:t>
            </w:r>
          </w:p>
        </w:tc>
        <w:tc>
          <w:tcPr>
            <w:tcW w:w="1131" w:type="dxa"/>
            <w:shd w:val="clear" w:color="auto" w:fill="C5E0B3" w:themeFill="accent6" w:themeFillTint="66"/>
          </w:tcPr>
          <w:p w14:paraId="7D82CCD9" w14:textId="77777777" w:rsidR="00235C6E" w:rsidRPr="003F1C5F" w:rsidRDefault="00235C6E" w:rsidP="005F0A6B">
            <w:pPr>
              <w:rPr>
                <w:b/>
                <w:bCs/>
              </w:rPr>
            </w:pPr>
            <w:r w:rsidRPr="003F1C5F">
              <w:rPr>
                <w:b/>
                <w:bCs/>
              </w:rPr>
              <w:t>Existing Efforts</w:t>
            </w:r>
          </w:p>
        </w:tc>
        <w:tc>
          <w:tcPr>
            <w:tcW w:w="912" w:type="dxa"/>
            <w:shd w:val="clear" w:color="auto" w:fill="C5E0B3" w:themeFill="accent6" w:themeFillTint="66"/>
          </w:tcPr>
          <w:p w14:paraId="763A27B1" w14:textId="1E89E11D" w:rsidR="00235C6E" w:rsidRDefault="00F51DC6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235C6E">
              <w:rPr>
                <w:b/>
                <w:bCs/>
              </w:rPr>
              <w:t>Grade Levels Served</w:t>
            </w:r>
          </w:p>
        </w:tc>
        <w:tc>
          <w:tcPr>
            <w:tcW w:w="1145" w:type="dxa"/>
            <w:shd w:val="clear" w:color="auto" w:fill="C5E0B3" w:themeFill="accent6" w:themeFillTint="66"/>
          </w:tcPr>
          <w:p w14:paraId="1DF997AC" w14:textId="4BE04815" w:rsidR="00235C6E" w:rsidRPr="003F1C5F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Gaps</w:t>
            </w:r>
          </w:p>
        </w:tc>
        <w:tc>
          <w:tcPr>
            <w:tcW w:w="1314" w:type="dxa"/>
            <w:shd w:val="clear" w:color="auto" w:fill="C5E0B3" w:themeFill="accent6" w:themeFillTint="66"/>
          </w:tcPr>
          <w:p w14:paraId="0B3C5843" w14:textId="77777777" w:rsidR="00235C6E" w:rsidRPr="003F1C5F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Planned Efforts</w:t>
            </w:r>
          </w:p>
        </w:tc>
        <w:tc>
          <w:tcPr>
            <w:tcW w:w="1822" w:type="dxa"/>
            <w:shd w:val="clear" w:color="auto" w:fill="C5E0B3" w:themeFill="accent6" w:themeFillTint="66"/>
          </w:tcPr>
          <w:p w14:paraId="2512AD5A" w14:textId="77777777" w:rsidR="00235C6E" w:rsidRPr="003F1C5F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Resources/Assets</w:t>
            </w:r>
          </w:p>
        </w:tc>
        <w:tc>
          <w:tcPr>
            <w:tcW w:w="1156" w:type="dxa"/>
            <w:shd w:val="clear" w:color="auto" w:fill="C5E0B3" w:themeFill="accent6" w:themeFillTint="66"/>
          </w:tcPr>
          <w:p w14:paraId="58911336" w14:textId="77777777" w:rsidR="00235C6E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Needs</w:t>
            </w:r>
          </w:p>
        </w:tc>
        <w:tc>
          <w:tcPr>
            <w:tcW w:w="1709" w:type="dxa"/>
            <w:shd w:val="clear" w:color="auto" w:fill="C5E0B3" w:themeFill="accent6" w:themeFillTint="66"/>
          </w:tcPr>
          <w:p w14:paraId="509ADD53" w14:textId="77777777" w:rsidR="00235C6E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Action Steps/Deadlines</w:t>
            </w:r>
          </w:p>
        </w:tc>
        <w:tc>
          <w:tcPr>
            <w:tcW w:w="1341" w:type="dxa"/>
            <w:shd w:val="clear" w:color="auto" w:fill="C5E0B3" w:themeFill="accent6" w:themeFillTint="66"/>
          </w:tcPr>
          <w:p w14:paraId="6029A9C5" w14:textId="77777777" w:rsidR="00235C6E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Person(s) Responsible </w:t>
            </w:r>
          </w:p>
        </w:tc>
      </w:tr>
      <w:tr w:rsidR="00EC59BA" w14:paraId="271831D6" w14:textId="77777777" w:rsidTr="00EC59BA">
        <w:tc>
          <w:tcPr>
            <w:tcW w:w="985" w:type="dxa"/>
            <w:vMerge w:val="restart"/>
            <w:shd w:val="clear" w:color="auto" w:fill="D9D9D9" w:themeFill="background1" w:themeFillShade="D9"/>
          </w:tcPr>
          <w:p w14:paraId="0D5D9E15" w14:textId="77777777" w:rsidR="00996603" w:rsidRPr="00485CC5" w:rsidRDefault="00996603" w:rsidP="005F0A6B">
            <w:pPr>
              <w:rPr>
                <w:b/>
                <w:bCs/>
              </w:rPr>
            </w:pPr>
            <w:r w:rsidRPr="00485CC5">
              <w:rPr>
                <w:b/>
                <w:bCs/>
              </w:rPr>
              <w:t xml:space="preserve">Level 1 IEFA </w:t>
            </w:r>
          </w:p>
          <w:p w14:paraId="07A94C4D" w14:textId="17C922A0" w:rsidR="00996603" w:rsidRDefault="00996603" w:rsidP="005F0A6B">
            <w:pPr>
              <w:rPr>
                <w:b/>
                <w:bCs/>
              </w:rPr>
            </w:pPr>
            <w:r w:rsidRPr="00485CC5">
              <w:rPr>
                <w:b/>
                <w:bCs/>
              </w:rPr>
              <w:t>Supports</w:t>
            </w:r>
          </w:p>
          <w:p w14:paraId="412840C5" w14:textId="77777777" w:rsidR="00996603" w:rsidRDefault="00996603" w:rsidP="00C0750B">
            <w:pPr>
              <w:rPr>
                <w:b/>
                <w:bCs/>
              </w:rPr>
            </w:pPr>
          </w:p>
          <w:p w14:paraId="611C657B" w14:textId="77777777" w:rsidR="00996603" w:rsidRDefault="00996603" w:rsidP="00C0750B">
            <w:pPr>
              <w:rPr>
                <w:b/>
                <w:bCs/>
              </w:rPr>
            </w:pPr>
          </w:p>
          <w:p w14:paraId="0FE82CDF" w14:textId="77777777" w:rsidR="00996603" w:rsidRDefault="00996603" w:rsidP="005F0A6B"/>
          <w:p w14:paraId="590E2354" w14:textId="77777777" w:rsidR="00996603" w:rsidRDefault="00996603" w:rsidP="00C0750B"/>
          <w:p w14:paraId="0E6E2FD3" w14:textId="77777777" w:rsidR="00996603" w:rsidRDefault="00996603" w:rsidP="00C0750B"/>
          <w:p w14:paraId="725920D7" w14:textId="40498FBF" w:rsidR="00996603" w:rsidRPr="00C0750B" w:rsidRDefault="00996603" w:rsidP="00C0750B"/>
        </w:tc>
        <w:tc>
          <w:tcPr>
            <w:tcW w:w="2250" w:type="dxa"/>
            <w:shd w:val="clear" w:color="auto" w:fill="D9D9D9" w:themeFill="background1" w:themeFillShade="D9"/>
          </w:tcPr>
          <w:p w14:paraId="604DD5E9" w14:textId="5408B1F7" w:rsidR="00996603" w:rsidRDefault="00996603" w:rsidP="005F0A6B">
            <w:r>
              <w:t xml:space="preserve">Essential Understandings Infused </w:t>
            </w:r>
            <w:r w:rsidR="00271656">
              <w:t>i</w:t>
            </w:r>
            <w:r>
              <w:t>nto Content Areas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25142496" w14:textId="77777777" w:rsidR="00996603" w:rsidRDefault="00996603" w:rsidP="005F0A6B"/>
        </w:tc>
        <w:tc>
          <w:tcPr>
            <w:tcW w:w="912" w:type="dxa"/>
            <w:shd w:val="clear" w:color="auto" w:fill="D9D9D9" w:themeFill="background1" w:themeFillShade="D9"/>
          </w:tcPr>
          <w:p w14:paraId="10CC5946" w14:textId="77777777" w:rsidR="00996603" w:rsidRDefault="00996603" w:rsidP="005F0A6B"/>
        </w:tc>
        <w:tc>
          <w:tcPr>
            <w:tcW w:w="1145" w:type="dxa"/>
            <w:shd w:val="clear" w:color="auto" w:fill="D9D9D9" w:themeFill="background1" w:themeFillShade="D9"/>
          </w:tcPr>
          <w:p w14:paraId="0A89908D" w14:textId="77777777" w:rsidR="00996603" w:rsidRDefault="00996603" w:rsidP="005F0A6B"/>
        </w:tc>
        <w:tc>
          <w:tcPr>
            <w:tcW w:w="1314" w:type="dxa"/>
            <w:shd w:val="clear" w:color="auto" w:fill="D9D9D9" w:themeFill="background1" w:themeFillShade="D9"/>
          </w:tcPr>
          <w:p w14:paraId="5A7B1496" w14:textId="77777777" w:rsidR="00996603" w:rsidRDefault="00996603" w:rsidP="005F0A6B"/>
        </w:tc>
        <w:tc>
          <w:tcPr>
            <w:tcW w:w="1822" w:type="dxa"/>
            <w:shd w:val="clear" w:color="auto" w:fill="D9D9D9" w:themeFill="background1" w:themeFillShade="D9"/>
          </w:tcPr>
          <w:p w14:paraId="3ED1B481" w14:textId="77777777" w:rsidR="00996603" w:rsidRDefault="00996603" w:rsidP="005F0A6B"/>
        </w:tc>
        <w:tc>
          <w:tcPr>
            <w:tcW w:w="1156" w:type="dxa"/>
            <w:shd w:val="clear" w:color="auto" w:fill="D9D9D9" w:themeFill="background1" w:themeFillShade="D9"/>
          </w:tcPr>
          <w:p w14:paraId="0E0695ED" w14:textId="77777777" w:rsidR="00996603" w:rsidRDefault="00996603" w:rsidP="005F0A6B"/>
        </w:tc>
        <w:tc>
          <w:tcPr>
            <w:tcW w:w="1709" w:type="dxa"/>
            <w:shd w:val="clear" w:color="auto" w:fill="D9D9D9" w:themeFill="background1" w:themeFillShade="D9"/>
          </w:tcPr>
          <w:p w14:paraId="2DB26F81" w14:textId="77777777" w:rsidR="00996603" w:rsidRDefault="00996603" w:rsidP="005F0A6B"/>
        </w:tc>
        <w:tc>
          <w:tcPr>
            <w:tcW w:w="1341" w:type="dxa"/>
            <w:shd w:val="clear" w:color="auto" w:fill="D9D9D9" w:themeFill="background1" w:themeFillShade="D9"/>
          </w:tcPr>
          <w:p w14:paraId="316C6980" w14:textId="77777777" w:rsidR="00996603" w:rsidRDefault="00996603" w:rsidP="005F0A6B"/>
        </w:tc>
      </w:tr>
      <w:tr w:rsidR="00EC59BA" w14:paraId="3A621C26" w14:textId="77777777" w:rsidTr="00EC59BA">
        <w:tc>
          <w:tcPr>
            <w:tcW w:w="985" w:type="dxa"/>
            <w:vMerge/>
            <w:shd w:val="clear" w:color="auto" w:fill="D9D9D9" w:themeFill="background1" w:themeFillShade="D9"/>
          </w:tcPr>
          <w:p w14:paraId="62F334B3" w14:textId="77777777" w:rsidR="00996603" w:rsidRDefault="00996603" w:rsidP="00C0750B"/>
        </w:tc>
        <w:tc>
          <w:tcPr>
            <w:tcW w:w="2250" w:type="dxa"/>
            <w:shd w:val="clear" w:color="auto" w:fill="D9D9D9" w:themeFill="background1" w:themeFillShade="D9"/>
          </w:tcPr>
          <w:p w14:paraId="2739AF97" w14:textId="31C08327" w:rsidR="00996603" w:rsidRDefault="00996603" w:rsidP="005F0A6B">
            <w:r>
              <w:t>Professional Development on Essential Understandings, Critical Literacy, Integration Strategies, Text Selection to Reduce Bias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6B11F14B" w14:textId="77777777" w:rsidR="00996603" w:rsidRDefault="00996603" w:rsidP="005F0A6B"/>
        </w:tc>
        <w:tc>
          <w:tcPr>
            <w:tcW w:w="912" w:type="dxa"/>
            <w:shd w:val="clear" w:color="auto" w:fill="D9D9D9" w:themeFill="background1" w:themeFillShade="D9"/>
          </w:tcPr>
          <w:p w14:paraId="2A62C85A" w14:textId="77777777" w:rsidR="00996603" w:rsidRDefault="00996603" w:rsidP="005F0A6B"/>
        </w:tc>
        <w:tc>
          <w:tcPr>
            <w:tcW w:w="1145" w:type="dxa"/>
            <w:shd w:val="clear" w:color="auto" w:fill="D9D9D9" w:themeFill="background1" w:themeFillShade="D9"/>
          </w:tcPr>
          <w:p w14:paraId="2AACF326" w14:textId="77777777" w:rsidR="00996603" w:rsidRDefault="00996603" w:rsidP="005F0A6B"/>
        </w:tc>
        <w:tc>
          <w:tcPr>
            <w:tcW w:w="1314" w:type="dxa"/>
            <w:shd w:val="clear" w:color="auto" w:fill="D9D9D9" w:themeFill="background1" w:themeFillShade="D9"/>
          </w:tcPr>
          <w:p w14:paraId="47F8B319" w14:textId="77777777" w:rsidR="00996603" w:rsidRDefault="00996603" w:rsidP="005F0A6B"/>
        </w:tc>
        <w:tc>
          <w:tcPr>
            <w:tcW w:w="1822" w:type="dxa"/>
            <w:shd w:val="clear" w:color="auto" w:fill="D9D9D9" w:themeFill="background1" w:themeFillShade="D9"/>
          </w:tcPr>
          <w:p w14:paraId="2AFBAC10" w14:textId="77777777" w:rsidR="00996603" w:rsidRDefault="00996603" w:rsidP="005F0A6B"/>
        </w:tc>
        <w:tc>
          <w:tcPr>
            <w:tcW w:w="1156" w:type="dxa"/>
            <w:shd w:val="clear" w:color="auto" w:fill="D9D9D9" w:themeFill="background1" w:themeFillShade="D9"/>
          </w:tcPr>
          <w:p w14:paraId="14049D75" w14:textId="77777777" w:rsidR="00996603" w:rsidRDefault="00996603" w:rsidP="005F0A6B"/>
        </w:tc>
        <w:tc>
          <w:tcPr>
            <w:tcW w:w="1709" w:type="dxa"/>
            <w:shd w:val="clear" w:color="auto" w:fill="D9D9D9" w:themeFill="background1" w:themeFillShade="D9"/>
          </w:tcPr>
          <w:p w14:paraId="10195B76" w14:textId="77777777" w:rsidR="00996603" w:rsidRDefault="00996603" w:rsidP="005F0A6B"/>
        </w:tc>
        <w:tc>
          <w:tcPr>
            <w:tcW w:w="1341" w:type="dxa"/>
            <w:shd w:val="clear" w:color="auto" w:fill="D9D9D9" w:themeFill="background1" w:themeFillShade="D9"/>
          </w:tcPr>
          <w:p w14:paraId="37D67C0F" w14:textId="77777777" w:rsidR="00996603" w:rsidRDefault="00996603" w:rsidP="005F0A6B"/>
        </w:tc>
      </w:tr>
      <w:tr w:rsidR="00EC59BA" w14:paraId="59346377" w14:textId="77777777" w:rsidTr="00EC59BA">
        <w:tc>
          <w:tcPr>
            <w:tcW w:w="985" w:type="dxa"/>
            <w:vMerge/>
            <w:shd w:val="clear" w:color="auto" w:fill="D9D9D9" w:themeFill="background1" w:themeFillShade="D9"/>
          </w:tcPr>
          <w:p w14:paraId="3DF6D46A" w14:textId="77777777" w:rsidR="00996603" w:rsidRDefault="00996603" w:rsidP="00C0750B"/>
        </w:tc>
        <w:tc>
          <w:tcPr>
            <w:tcW w:w="2250" w:type="dxa"/>
            <w:shd w:val="clear" w:color="auto" w:fill="D9D9D9" w:themeFill="background1" w:themeFillShade="D9"/>
          </w:tcPr>
          <w:p w14:paraId="413FC179" w14:textId="14597A18" w:rsidR="00996603" w:rsidRDefault="00996603" w:rsidP="005F0A6B">
            <w:r>
              <w:t>Access to Quality Materials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45EE0610" w14:textId="77777777" w:rsidR="00996603" w:rsidRDefault="00996603" w:rsidP="005F0A6B"/>
        </w:tc>
        <w:tc>
          <w:tcPr>
            <w:tcW w:w="912" w:type="dxa"/>
            <w:shd w:val="clear" w:color="auto" w:fill="D9D9D9" w:themeFill="background1" w:themeFillShade="D9"/>
          </w:tcPr>
          <w:p w14:paraId="576B7C1D" w14:textId="77777777" w:rsidR="00996603" w:rsidRDefault="00996603" w:rsidP="005F0A6B"/>
        </w:tc>
        <w:tc>
          <w:tcPr>
            <w:tcW w:w="1145" w:type="dxa"/>
            <w:shd w:val="clear" w:color="auto" w:fill="D9D9D9" w:themeFill="background1" w:themeFillShade="D9"/>
          </w:tcPr>
          <w:p w14:paraId="51853861" w14:textId="77777777" w:rsidR="00996603" w:rsidRDefault="00996603" w:rsidP="005F0A6B"/>
        </w:tc>
        <w:tc>
          <w:tcPr>
            <w:tcW w:w="1314" w:type="dxa"/>
            <w:shd w:val="clear" w:color="auto" w:fill="D9D9D9" w:themeFill="background1" w:themeFillShade="D9"/>
          </w:tcPr>
          <w:p w14:paraId="7ED0C4E4" w14:textId="77777777" w:rsidR="00996603" w:rsidRDefault="00996603" w:rsidP="005F0A6B"/>
        </w:tc>
        <w:tc>
          <w:tcPr>
            <w:tcW w:w="1822" w:type="dxa"/>
            <w:shd w:val="clear" w:color="auto" w:fill="D9D9D9" w:themeFill="background1" w:themeFillShade="D9"/>
          </w:tcPr>
          <w:p w14:paraId="2A1E4EFF" w14:textId="77777777" w:rsidR="00996603" w:rsidRDefault="00996603" w:rsidP="005F0A6B"/>
        </w:tc>
        <w:tc>
          <w:tcPr>
            <w:tcW w:w="1156" w:type="dxa"/>
            <w:shd w:val="clear" w:color="auto" w:fill="D9D9D9" w:themeFill="background1" w:themeFillShade="D9"/>
          </w:tcPr>
          <w:p w14:paraId="67C96354" w14:textId="77777777" w:rsidR="00996603" w:rsidRDefault="00996603" w:rsidP="005F0A6B"/>
        </w:tc>
        <w:tc>
          <w:tcPr>
            <w:tcW w:w="1709" w:type="dxa"/>
            <w:shd w:val="clear" w:color="auto" w:fill="D9D9D9" w:themeFill="background1" w:themeFillShade="D9"/>
          </w:tcPr>
          <w:p w14:paraId="33F46D6D" w14:textId="77777777" w:rsidR="00996603" w:rsidRDefault="00996603" w:rsidP="005F0A6B"/>
        </w:tc>
        <w:tc>
          <w:tcPr>
            <w:tcW w:w="1341" w:type="dxa"/>
            <w:shd w:val="clear" w:color="auto" w:fill="D9D9D9" w:themeFill="background1" w:themeFillShade="D9"/>
          </w:tcPr>
          <w:p w14:paraId="4316B541" w14:textId="77777777" w:rsidR="00996603" w:rsidRDefault="00996603" w:rsidP="005F0A6B"/>
        </w:tc>
      </w:tr>
      <w:tr w:rsidR="00EC59BA" w14:paraId="6C52D904" w14:textId="77777777" w:rsidTr="00EC59BA">
        <w:tc>
          <w:tcPr>
            <w:tcW w:w="985" w:type="dxa"/>
            <w:vMerge/>
            <w:shd w:val="clear" w:color="auto" w:fill="D9D9D9" w:themeFill="background1" w:themeFillShade="D9"/>
          </w:tcPr>
          <w:p w14:paraId="5D6BCF99" w14:textId="77777777" w:rsidR="00996603" w:rsidRDefault="00996603" w:rsidP="00C0750B"/>
        </w:tc>
        <w:tc>
          <w:tcPr>
            <w:tcW w:w="2250" w:type="dxa"/>
            <w:shd w:val="clear" w:color="auto" w:fill="D9D9D9" w:themeFill="background1" w:themeFillShade="D9"/>
          </w:tcPr>
          <w:p w14:paraId="0C08170C" w14:textId="5791133E" w:rsidR="00996603" w:rsidRDefault="00996603" w:rsidP="005F0A6B">
            <w:r>
              <w:t>Periodic Access to Specialists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2D68E181" w14:textId="77777777" w:rsidR="00996603" w:rsidRDefault="00996603" w:rsidP="005F0A6B"/>
        </w:tc>
        <w:tc>
          <w:tcPr>
            <w:tcW w:w="912" w:type="dxa"/>
            <w:shd w:val="clear" w:color="auto" w:fill="D9D9D9" w:themeFill="background1" w:themeFillShade="D9"/>
          </w:tcPr>
          <w:p w14:paraId="2B9FE9E8" w14:textId="77777777" w:rsidR="00996603" w:rsidRDefault="00996603" w:rsidP="005F0A6B"/>
        </w:tc>
        <w:tc>
          <w:tcPr>
            <w:tcW w:w="1145" w:type="dxa"/>
            <w:shd w:val="clear" w:color="auto" w:fill="D9D9D9" w:themeFill="background1" w:themeFillShade="D9"/>
          </w:tcPr>
          <w:p w14:paraId="30DD2D2B" w14:textId="77777777" w:rsidR="00996603" w:rsidRDefault="00996603" w:rsidP="005F0A6B"/>
        </w:tc>
        <w:tc>
          <w:tcPr>
            <w:tcW w:w="1314" w:type="dxa"/>
            <w:shd w:val="clear" w:color="auto" w:fill="D9D9D9" w:themeFill="background1" w:themeFillShade="D9"/>
          </w:tcPr>
          <w:p w14:paraId="301A93D4" w14:textId="77777777" w:rsidR="00996603" w:rsidRDefault="00996603" w:rsidP="005F0A6B"/>
        </w:tc>
        <w:tc>
          <w:tcPr>
            <w:tcW w:w="1822" w:type="dxa"/>
            <w:shd w:val="clear" w:color="auto" w:fill="D9D9D9" w:themeFill="background1" w:themeFillShade="D9"/>
          </w:tcPr>
          <w:p w14:paraId="06A5F141" w14:textId="77777777" w:rsidR="00996603" w:rsidRDefault="00996603" w:rsidP="005F0A6B"/>
        </w:tc>
        <w:tc>
          <w:tcPr>
            <w:tcW w:w="1156" w:type="dxa"/>
            <w:shd w:val="clear" w:color="auto" w:fill="D9D9D9" w:themeFill="background1" w:themeFillShade="D9"/>
          </w:tcPr>
          <w:p w14:paraId="2724F7CC" w14:textId="77777777" w:rsidR="00996603" w:rsidRDefault="00996603" w:rsidP="005F0A6B"/>
        </w:tc>
        <w:tc>
          <w:tcPr>
            <w:tcW w:w="1709" w:type="dxa"/>
            <w:shd w:val="clear" w:color="auto" w:fill="D9D9D9" w:themeFill="background1" w:themeFillShade="D9"/>
          </w:tcPr>
          <w:p w14:paraId="504314E4" w14:textId="77777777" w:rsidR="00996603" w:rsidRDefault="00996603" w:rsidP="005F0A6B"/>
        </w:tc>
        <w:tc>
          <w:tcPr>
            <w:tcW w:w="1341" w:type="dxa"/>
            <w:shd w:val="clear" w:color="auto" w:fill="D9D9D9" w:themeFill="background1" w:themeFillShade="D9"/>
          </w:tcPr>
          <w:p w14:paraId="3885491E" w14:textId="77777777" w:rsidR="00996603" w:rsidRDefault="00996603" w:rsidP="005F0A6B"/>
        </w:tc>
      </w:tr>
      <w:tr w:rsidR="00EC59BA" w14:paraId="42E8A27B" w14:textId="77777777" w:rsidTr="00EC59BA">
        <w:tc>
          <w:tcPr>
            <w:tcW w:w="985" w:type="dxa"/>
            <w:vMerge/>
            <w:shd w:val="clear" w:color="auto" w:fill="D9D9D9" w:themeFill="background1" w:themeFillShade="D9"/>
          </w:tcPr>
          <w:p w14:paraId="6DF4EBE1" w14:textId="77777777" w:rsidR="00996603" w:rsidRDefault="00996603" w:rsidP="00C0750B"/>
        </w:tc>
        <w:tc>
          <w:tcPr>
            <w:tcW w:w="2250" w:type="dxa"/>
            <w:shd w:val="clear" w:color="auto" w:fill="D9D9D9" w:themeFill="background1" w:themeFillShade="D9"/>
          </w:tcPr>
          <w:p w14:paraId="680A0D59" w14:textId="36D9F5C0" w:rsidR="00996603" w:rsidRDefault="00996603" w:rsidP="005F0A6B">
            <w:r>
              <w:t>Periodic Inquiry Based Depth of Study Units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64AF0C3C" w14:textId="77777777" w:rsidR="00996603" w:rsidRDefault="00996603" w:rsidP="005F0A6B"/>
        </w:tc>
        <w:tc>
          <w:tcPr>
            <w:tcW w:w="912" w:type="dxa"/>
            <w:shd w:val="clear" w:color="auto" w:fill="D9D9D9" w:themeFill="background1" w:themeFillShade="D9"/>
          </w:tcPr>
          <w:p w14:paraId="2A755222" w14:textId="77777777" w:rsidR="00996603" w:rsidRDefault="00996603" w:rsidP="005F0A6B"/>
        </w:tc>
        <w:tc>
          <w:tcPr>
            <w:tcW w:w="1145" w:type="dxa"/>
            <w:shd w:val="clear" w:color="auto" w:fill="D9D9D9" w:themeFill="background1" w:themeFillShade="D9"/>
          </w:tcPr>
          <w:p w14:paraId="71DCB140" w14:textId="77777777" w:rsidR="00996603" w:rsidRDefault="00996603" w:rsidP="005F0A6B"/>
        </w:tc>
        <w:tc>
          <w:tcPr>
            <w:tcW w:w="1314" w:type="dxa"/>
            <w:shd w:val="clear" w:color="auto" w:fill="D9D9D9" w:themeFill="background1" w:themeFillShade="D9"/>
          </w:tcPr>
          <w:p w14:paraId="3A88C85B" w14:textId="77777777" w:rsidR="00996603" w:rsidRDefault="00996603" w:rsidP="005F0A6B"/>
        </w:tc>
        <w:tc>
          <w:tcPr>
            <w:tcW w:w="1822" w:type="dxa"/>
            <w:shd w:val="clear" w:color="auto" w:fill="D9D9D9" w:themeFill="background1" w:themeFillShade="D9"/>
          </w:tcPr>
          <w:p w14:paraId="2C7B1850" w14:textId="77777777" w:rsidR="00996603" w:rsidRDefault="00996603" w:rsidP="005F0A6B"/>
        </w:tc>
        <w:tc>
          <w:tcPr>
            <w:tcW w:w="1156" w:type="dxa"/>
            <w:shd w:val="clear" w:color="auto" w:fill="D9D9D9" w:themeFill="background1" w:themeFillShade="D9"/>
          </w:tcPr>
          <w:p w14:paraId="096072F5" w14:textId="77777777" w:rsidR="00996603" w:rsidRDefault="00996603" w:rsidP="005F0A6B"/>
        </w:tc>
        <w:tc>
          <w:tcPr>
            <w:tcW w:w="1709" w:type="dxa"/>
            <w:shd w:val="clear" w:color="auto" w:fill="D9D9D9" w:themeFill="background1" w:themeFillShade="D9"/>
          </w:tcPr>
          <w:p w14:paraId="5426D5D4" w14:textId="77777777" w:rsidR="00996603" w:rsidRDefault="00996603" w:rsidP="005F0A6B"/>
        </w:tc>
        <w:tc>
          <w:tcPr>
            <w:tcW w:w="1341" w:type="dxa"/>
            <w:shd w:val="clear" w:color="auto" w:fill="D9D9D9" w:themeFill="background1" w:themeFillShade="D9"/>
          </w:tcPr>
          <w:p w14:paraId="70E60206" w14:textId="77777777" w:rsidR="00996603" w:rsidRDefault="00996603" w:rsidP="005F0A6B"/>
        </w:tc>
      </w:tr>
      <w:tr w:rsidR="00EC59BA" w14:paraId="4985060D" w14:textId="77777777" w:rsidTr="00EC59BA">
        <w:tc>
          <w:tcPr>
            <w:tcW w:w="985" w:type="dxa"/>
            <w:vMerge/>
            <w:shd w:val="clear" w:color="auto" w:fill="D9D9D9" w:themeFill="background1" w:themeFillShade="D9"/>
          </w:tcPr>
          <w:p w14:paraId="5E59B755" w14:textId="4FE8D99B" w:rsidR="00996603" w:rsidRPr="00C0750B" w:rsidRDefault="00996603" w:rsidP="00C0750B"/>
        </w:tc>
        <w:tc>
          <w:tcPr>
            <w:tcW w:w="2250" w:type="dxa"/>
            <w:shd w:val="clear" w:color="auto" w:fill="D9D9D9" w:themeFill="background1" w:themeFillShade="D9"/>
          </w:tcPr>
          <w:p w14:paraId="32DB116B" w14:textId="4FA811A1" w:rsidR="00996603" w:rsidRDefault="00996603" w:rsidP="005F0A6B">
            <w:r>
              <w:t>Professional Development on Equity Pedagogy, Anti Bias Education, and Teacher Expectations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19381209" w14:textId="77777777" w:rsidR="00996603" w:rsidRDefault="00996603" w:rsidP="005F0A6B"/>
        </w:tc>
        <w:tc>
          <w:tcPr>
            <w:tcW w:w="912" w:type="dxa"/>
            <w:shd w:val="clear" w:color="auto" w:fill="D9D9D9" w:themeFill="background1" w:themeFillShade="D9"/>
          </w:tcPr>
          <w:p w14:paraId="1718A6C8" w14:textId="77777777" w:rsidR="00996603" w:rsidRDefault="00996603" w:rsidP="005F0A6B"/>
        </w:tc>
        <w:tc>
          <w:tcPr>
            <w:tcW w:w="1145" w:type="dxa"/>
            <w:shd w:val="clear" w:color="auto" w:fill="D9D9D9" w:themeFill="background1" w:themeFillShade="D9"/>
          </w:tcPr>
          <w:p w14:paraId="27C31362" w14:textId="77777777" w:rsidR="00996603" w:rsidRDefault="00996603" w:rsidP="005F0A6B"/>
        </w:tc>
        <w:tc>
          <w:tcPr>
            <w:tcW w:w="1314" w:type="dxa"/>
            <w:shd w:val="clear" w:color="auto" w:fill="D9D9D9" w:themeFill="background1" w:themeFillShade="D9"/>
          </w:tcPr>
          <w:p w14:paraId="01CB7072" w14:textId="77777777" w:rsidR="00996603" w:rsidRDefault="00996603" w:rsidP="005F0A6B"/>
        </w:tc>
        <w:tc>
          <w:tcPr>
            <w:tcW w:w="1822" w:type="dxa"/>
            <w:shd w:val="clear" w:color="auto" w:fill="D9D9D9" w:themeFill="background1" w:themeFillShade="D9"/>
          </w:tcPr>
          <w:p w14:paraId="74A570B8" w14:textId="77777777" w:rsidR="00996603" w:rsidRDefault="00996603" w:rsidP="005F0A6B"/>
        </w:tc>
        <w:tc>
          <w:tcPr>
            <w:tcW w:w="1156" w:type="dxa"/>
            <w:shd w:val="clear" w:color="auto" w:fill="D9D9D9" w:themeFill="background1" w:themeFillShade="D9"/>
          </w:tcPr>
          <w:p w14:paraId="09E2429A" w14:textId="77777777" w:rsidR="00996603" w:rsidRDefault="00996603" w:rsidP="005F0A6B"/>
        </w:tc>
        <w:tc>
          <w:tcPr>
            <w:tcW w:w="1709" w:type="dxa"/>
            <w:shd w:val="clear" w:color="auto" w:fill="D9D9D9" w:themeFill="background1" w:themeFillShade="D9"/>
          </w:tcPr>
          <w:p w14:paraId="4821CCCF" w14:textId="77777777" w:rsidR="00996603" w:rsidRDefault="00996603" w:rsidP="005F0A6B"/>
        </w:tc>
        <w:tc>
          <w:tcPr>
            <w:tcW w:w="1341" w:type="dxa"/>
            <w:shd w:val="clear" w:color="auto" w:fill="D9D9D9" w:themeFill="background1" w:themeFillShade="D9"/>
          </w:tcPr>
          <w:p w14:paraId="53BB0A3F" w14:textId="77777777" w:rsidR="00996603" w:rsidRDefault="00996603" w:rsidP="005F0A6B"/>
        </w:tc>
      </w:tr>
    </w:tbl>
    <w:p w14:paraId="516C1210" w14:textId="77777777" w:rsidR="005F0A6B" w:rsidRPr="005F0A6B" w:rsidRDefault="005F0A6B" w:rsidP="005F0A6B"/>
    <w:sectPr w:rsidR="005F0A6B" w:rsidRPr="005F0A6B" w:rsidSect="00EC59BA">
      <w:headerReference w:type="default" r:id="rId6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C8E0" w14:textId="77777777" w:rsidR="00971B15" w:rsidRDefault="00971B15" w:rsidP="00271656">
      <w:pPr>
        <w:spacing w:after="0" w:line="240" w:lineRule="auto"/>
      </w:pPr>
      <w:r>
        <w:separator/>
      </w:r>
    </w:p>
  </w:endnote>
  <w:endnote w:type="continuationSeparator" w:id="0">
    <w:p w14:paraId="1D7352D9" w14:textId="77777777" w:rsidR="00971B15" w:rsidRDefault="00971B15" w:rsidP="0027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CDF5" w14:textId="77777777" w:rsidR="00971B15" w:rsidRDefault="00971B15" w:rsidP="00271656">
      <w:pPr>
        <w:spacing w:after="0" w:line="240" w:lineRule="auto"/>
      </w:pPr>
      <w:r>
        <w:separator/>
      </w:r>
    </w:p>
  </w:footnote>
  <w:footnote w:type="continuationSeparator" w:id="0">
    <w:p w14:paraId="05F58BE8" w14:textId="77777777" w:rsidR="00971B15" w:rsidRDefault="00971B15" w:rsidP="0027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1DCA" w14:textId="00FB6067" w:rsidR="0043606C" w:rsidRPr="0043606C" w:rsidRDefault="0043606C" w:rsidP="00EC59BA">
    <w:pPr>
      <w:spacing w:after="0" w:line="240" w:lineRule="auto"/>
      <w:rPr>
        <w:sz w:val="24"/>
        <w:szCs w:val="24"/>
      </w:rPr>
    </w:pPr>
  </w:p>
  <w:p w14:paraId="3C81E847" w14:textId="030456A5" w:rsidR="00271656" w:rsidRDefault="002716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B"/>
    <w:rsid w:val="000E4A8B"/>
    <w:rsid w:val="000E5281"/>
    <w:rsid w:val="00116A58"/>
    <w:rsid w:val="00235C6E"/>
    <w:rsid w:val="00241B98"/>
    <w:rsid w:val="00271656"/>
    <w:rsid w:val="0033409E"/>
    <w:rsid w:val="00335D48"/>
    <w:rsid w:val="003F1C5F"/>
    <w:rsid w:val="00423B0C"/>
    <w:rsid w:val="00426658"/>
    <w:rsid w:val="0043606C"/>
    <w:rsid w:val="00485CC5"/>
    <w:rsid w:val="0048784A"/>
    <w:rsid w:val="004C4670"/>
    <w:rsid w:val="005177C2"/>
    <w:rsid w:val="005D1F9E"/>
    <w:rsid w:val="005F0A6B"/>
    <w:rsid w:val="005F12AD"/>
    <w:rsid w:val="006417B1"/>
    <w:rsid w:val="00683DAD"/>
    <w:rsid w:val="007350A3"/>
    <w:rsid w:val="008D2647"/>
    <w:rsid w:val="00971B15"/>
    <w:rsid w:val="009902E6"/>
    <w:rsid w:val="00996603"/>
    <w:rsid w:val="009C318B"/>
    <w:rsid w:val="009F4466"/>
    <w:rsid w:val="00A07647"/>
    <w:rsid w:val="00A14536"/>
    <w:rsid w:val="00B20640"/>
    <w:rsid w:val="00C0750B"/>
    <w:rsid w:val="00C90717"/>
    <w:rsid w:val="00CA7001"/>
    <w:rsid w:val="00CB1C9A"/>
    <w:rsid w:val="00D52CED"/>
    <w:rsid w:val="00E329EE"/>
    <w:rsid w:val="00EC59BA"/>
    <w:rsid w:val="00F51DC6"/>
    <w:rsid w:val="00FB5A34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8CE495"/>
  <w15:chartTrackingRefBased/>
  <w15:docId w15:val="{DEAD46B2-5788-40F7-9963-3EA2754B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rsid w:val="00B20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22A35" w:themeColor="text2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640"/>
    <w:rPr>
      <w:rFonts w:asciiTheme="majorHAnsi" w:eastAsiaTheme="majorEastAsia" w:hAnsiTheme="majorHAnsi" w:cstheme="majorBidi"/>
      <w:color w:val="222A35" w:themeColor="text2" w:themeShade="80"/>
      <w:sz w:val="32"/>
      <w:szCs w:val="32"/>
    </w:rPr>
  </w:style>
  <w:style w:type="table" w:styleId="TableGrid">
    <w:name w:val="Table Grid"/>
    <w:basedOn w:val="TableNormal"/>
    <w:uiPriority w:val="39"/>
    <w:rsid w:val="005F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C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56"/>
  </w:style>
  <w:style w:type="paragraph" w:styleId="Footer">
    <w:name w:val="footer"/>
    <w:basedOn w:val="Normal"/>
    <w:link w:val="FooterChar"/>
    <w:uiPriority w:val="99"/>
    <w:unhideWhenUsed/>
    <w:rsid w:val="00271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Guide IEFA - Small-Medium Size Schools</dc:title>
  <dc:subject/>
  <dc:creator>Montana Office of Public Instruction Indian Education for All Unit</dc:creator>
  <cp:keywords>Indian Education for All</cp:keywords>
  <dc:description/>
  <cp:lastModifiedBy>Franke, Joan</cp:lastModifiedBy>
  <cp:revision>3</cp:revision>
  <dcterms:created xsi:type="dcterms:W3CDTF">2021-09-16T21:54:00Z</dcterms:created>
  <dcterms:modified xsi:type="dcterms:W3CDTF">2021-09-16T21:55:00Z</dcterms:modified>
</cp:coreProperties>
</file>