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BE62" w14:textId="77777777" w:rsidR="00DD4425" w:rsidRDefault="00000000">
      <w:pPr>
        <w:ind w:left="1017"/>
        <w:rPr>
          <w:sz w:val="20"/>
        </w:rPr>
      </w:pPr>
      <w:r>
        <w:rPr>
          <w:noProof/>
          <w:sz w:val="20"/>
        </w:rPr>
        <w:drawing>
          <wp:inline distT="0" distB="0" distL="0" distR="0" wp14:anchorId="56F47382" wp14:editId="7B003610">
            <wp:extent cx="5174756" cy="11643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4756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07704" w14:textId="77777777" w:rsidR="00DD4425" w:rsidRDefault="00DD4425">
      <w:pPr>
        <w:pStyle w:val="BodyText"/>
      </w:pPr>
    </w:p>
    <w:p w14:paraId="71529DE1" w14:textId="77777777" w:rsidR="00DD4425" w:rsidRDefault="00DD4425">
      <w:pPr>
        <w:pStyle w:val="BodyText"/>
        <w:spacing w:before="44"/>
      </w:pPr>
    </w:p>
    <w:p w14:paraId="097FC13E" w14:textId="77777777" w:rsidR="00DD4425" w:rsidRDefault="00000000">
      <w:pPr>
        <w:pStyle w:val="BodyText"/>
        <w:spacing w:line="249" w:lineRule="auto"/>
        <w:ind w:left="355" w:right="10" w:hanging="10"/>
      </w:pP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Montana</w:t>
      </w:r>
      <w:r>
        <w:rPr>
          <w:spacing w:val="-16"/>
        </w:rPr>
        <w:t xml:space="preserve"> </w:t>
      </w:r>
      <w:r>
        <w:t>Advisory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Indian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(MACIE),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Montana</w:t>
      </w:r>
      <w:r>
        <w:rPr>
          <w:spacing w:val="-4"/>
        </w:rPr>
        <w:t xml:space="preserve"> </w:t>
      </w:r>
      <w:r>
        <w:t>Office of Public Instruction, and the Montana OPI Indian Education Unit, we affirm our unwavering</w:t>
      </w:r>
    </w:p>
    <w:p w14:paraId="05252EC9" w14:textId="3B407447" w:rsidR="00DD4425" w:rsidRDefault="00000000">
      <w:pPr>
        <w:pStyle w:val="BodyText"/>
        <w:spacing w:line="247" w:lineRule="auto"/>
        <w:ind w:left="355" w:right="10"/>
      </w:pPr>
      <w:r>
        <w:t>support for the rights of Native students across the United States to wear their tribal regalia at public</w:t>
      </w:r>
      <w:r>
        <w:rPr>
          <w:spacing w:val="-4"/>
        </w:rPr>
        <w:t xml:space="preserve"> </w:t>
      </w:r>
      <w:r>
        <w:t>ceremonies,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graduations.</w:t>
      </w:r>
      <w:r>
        <w:rPr>
          <w:spacing w:val="-8"/>
        </w:rPr>
        <w:t xml:space="preserve"> </w:t>
      </w:r>
      <w:r>
        <w:t>Wearing</w:t>
      </w:r>
      <w:r>
        <w:rPr>
          <w:spacing w:val="-4"/>
        </w:rPr>
        <w:t xml:space="preserve"> </w:t>
      </w:r>
      <w:r>
        <w:t>regalia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deeply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expression</w:t>
      </w:r>
      <w:r>
        <w:rPr>
          <w:spacing w:val="-4"/>
        </w:rPr>
        <w:t xml:space="preserve"> </w:t>
      </w:r>
      <w:r>
        <w:t>of cultural</w:t>
      </w:r>
      <w:r>
        <w:rPr>
          <w:spacing w:val="-3"/>
        </w:rPr>
        <w:t xml:space="preserve"> </w:t>
      </w:r>
      <w:r>
        <w:t>identity,</w:t>
      </w:r>
      <w:r>
        <w:rPr>
          <w:spacing w:val="-3"/>
        </w:rPr>
        <w:t xml:space="preserve"> </w:t>
      </w:r>
      <w:r>
        <w:t>spiritual</w:t>
      </w:r>
      <w:r>
        <w:rPr>
          <w:spacing w:val="-5"/>
        </w:rPr>
        <w:t xml:space="preserve"> </w:t>
      </w:r>
      <w:r>
        <w:t>tradition,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Indigenous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their</w:t>
      </w:r>
      <w:proofErr w:type="gramEnd"/>
    </w:p>
    <w:p w14:paraId="7E807E87" w14:textId="74742480" w:rsidR="00DD4425" w:rsidRDefault="00000000">
      <w:pPr>
        <w:pStyle w:val="BodyText"/>
        <w:spacing w:before="7" w:line="249" w:lineRule="auto"/>
        <w:ind w:left="355" w:right="130"/>
        <w:jc w:val="both"/>
      </w:pPr>
      <w:r>
        <w:t>families.</w:t>
      </w:r>
      <w:r>
        <w:rPr>
          <w:spacing w:val="-2"/>
        </w:rPr>
        <w:t xml:space="preserve"> </w:t>
      </w:r>
      <w:r>
        <w:t>These garments are not “decorations.” Instead, they are often handmade, passed down through</w:t>
      </w:r>
      <w:r>
        <w:rPr>
          <w:spacing w:val="-1"/>
        </w:rPr>
        <w:t xml:space="preserve"> </w:t>
      </w:r>
      <w:r>
        <w:t>generations,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powerful</w:t>
      </w:r>
      <w:r>
        <w:rPr>
          <w:spacing w:val="-1"/>
        </w:rPr>
        <w:t xml:space="preserve"> </w:t>
      </w:r>
      <w:r>
        <w:t>symbols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achievement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pride. The</w:t>
      </w:r>
      <w:r>
        <w:rPr>
          <w:spacing w:val="-5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wear</w:t>
      </w:r>
      <w:r>
        <w:rPr>
          <w:spacing w:val="-3"/>
        </w:rPr>
        <w:t xml:space="preserve"> </w:t>
      </w:r>
      <w:r>
        <w:t>regalia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spaces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sovereignty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dignity of Native nations and acknowledges the resilience and perseverance of Native youth within</w:t>
      </w:r>
    </w:p>
    <w:p w14:paraId="2282F303" w14:textId="77777777" w:rsidR="00DD4425" w:rsidRDefault="00000000">
      <w:pPr>
        <w:pStyle w:val="BodyText"/>
        <w:spacing w:line="273" w:lineRule="exact"/>
        <w:ind w:left="355"/>
        <w:jc w:val="both"/>
      </w:pPr>
      <w:r>
        <w:t>educational</w:t>
      </w:r>
      <w:r>
        <w:rPr>
          <w:spacing w:val="-2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that have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always embraced</w:t>
      </w:r>
      <w:r>
        <w:rPr>
          <w:spacing w:val="-2"/>
        </w:rPr>
        <w:t xml:space="preserve"> them.</w:t>
      </w:r>
    </w:p>
    <w:p w14:paraId="52455D32" w14:textId="160946CA" w:rsidR="00DD4425" w:rsidRDefault="00DD4425">
      <w:pPr>
        <w:pStyle w:val="BodyText"/>
        <w:spacing w:before="62"/>
      </w:pPr>
    </w:p>
    <w:p w14:paraId="4A15244D" w14:textId="585D328B" w:rsidR="00DD4425" w:rsidRDefault="00000000">
      <w:pPr>
        <w:pStyle w:val="BodyText"/>
        <w:spacing w:before="1"/>
        <w:ind w:left="346"/>
      </w:pPr>
      <w:r>
        <w:t>The</w:t>
      </w:r>
      <w:r>
        <w:rPr>
          <w:spacing w:val="-5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6">
        <w:r>
          <w:rPr>
            <w:color w:val="955F7C"/>
            <w:u w:val="single" w:color="955F7C"/>
          </w:rPr>
          <w:t>Montana</w:t>
        </w:r>
        <w:r>
          <w:rPr>
            <w:color w:val="955F7C"/>
            <w:spacing w:val="-2"/>
            <w:u w:val="single" w:color="955F7C"/>
          </w:rPr>
          <w:t xml:space="preserve"> </w:t>
        </w:r>
        <w:r>
          <w:rPr>
            <w:color w:val="955F7C"/>
            <w:u w:val="single" w:color="955F7C"/>
          </w:rPr>
          <w:t>Code</w:t>
        </w:r>
        <w:r>
          <w:rPr>
            <w:color w:val="955F7C"/>
            <w:spacing w:val="-13"/>
            <w:u w:val="single" w:color="955F7C"/>
          </w:rPr>
          <w:t xml:space="preserve"> </w:t>
        </w:r>
        <w:r>
          <w:rPr>
            <w:color w:val="955F7C"/>
            <w:u w:val="single" w:color="955F7C"/>
          </w:rPr>
          <w:t>Annotated</w:t>
        </w:r>
        <w:r>
          <w:rPr>
            <w:color w:val="955F7C"/>
            <w:spacing w:val="-1"/>
            <w:u w:val="single" w:color="955F7C"/>
          </w:rPr>
          <w:t xml:space="preserve"> </w:t>
        </w:r>
        <w:r>
          <w:rPr>
            <w:color w:val="955F7C"/>
            <w:u w:val="single" w:color="955F7C"/>
          </w:rPr>
          <w:t>§ 2-1-315</w:t>
        </w:r>
      </w:hyperlink>
      <w:r>
        <w:rPr>
          <w:color w:val="955F7C"/>
          <w:spacing w:val="-6"/>
        </w:rPr>
        <w:t xml:space="preserve"> </w:t>
      </w:r>
      <w:r>
        <w:t>stands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powerful</w:t>
      </w:r>
      <w:r>
        <w:rPr>
          <w:spacing w:val="-1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5"/>
        </w:rPr>
        <w:t>how</w:t>
      </w:r>
    </w:p>
    <w:p w14:paraId="281E6F59" w14:textId="77777777" w:rsidR="00DD4425" w:rsidRDefault="00000000">
      <w:pPr>
        <w:pStyle w:val="BodyText"/>
        <w:spacing w:before="12"/>
        <w:ind w:left="355"/>
      </w:pPr>
      <w:r>
        <w:t>state-level</w:t>
      </w:r>
      <w:r>
        <w:rPr>
          <w:spacing w:val="-4"/>
        </w:rPr>
        <w:t xml:space="preserve"> </w:t>
      </w:r>
      <w:r>
        <w:t>legislation</w:t>
      </w:r>
      <w:r>
        <w:rPr>
          <w:spacing w:val="-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uplift</w:t>
      </w:r>
      <w:r>
        <w:rPr>
          <w:spacing w:val="-1"/>
        </w:rPr>
        <w:t xml:space="preserve"> </w:t>
      </w:r>
      <w:r>
        <w:t>Indigenous</w:t>
      </w:r>
      <w:r>
        <w:rPr>
          <w:spacing w:val="-3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expression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rPr>
          <w:spacing w:val="-2"/>
        </w:rPr>
        <w:t>institutions.</w:t>
      </w:r>
    </w:p>
    <w:p w14:paraId="32A266D9" w14:textId="439D775A" w:rsidR="00DD4425" w:rsidRDefault="00000000">
      <w:pPr>
        <w:pStyle w:val="BodyText"/>
        <w:spacing w:before="9" w:line="247" w:lineRule="auto"/>
        <w:ind w:left="355" w:right="10"/>
      </w:pPr>
      <w:r>
        <w:t>We encourage other districts, states, and educational leaders to follow this model by adopting inclusive</w:t>
      </w:r>
      <w:r>
        <w:rPr>
          <w:spacing w:val="-4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recognize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respect tribal</w:t>
      </w:r>
      <w:r>
        <w:rPr>
          <w:spacing w:val="-1"/>
        </w:rPr>
        <w:t xml:space="preserve"> </w:t>
      </w:r>
      <w:r>
        <w:t>sovereignty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2"/>
        </w:rPr>
        <w:t>identity.</w:t>
      </w:r>
    </w:p>
    <w:p w14:paraId="1B50718B" w14:textId="5430756C" w:rsidR="00DD4425" w:rsidRDefault="00000000">
      <w:pPr>
        <w:pStyle w:val="BodyText"/>
        <w:spacing w:before="3" w:line="249" w:lineRule="auto"/>
        <w:ind w:left="355" w:right="10"/>
      </w:pPr>
      <w:r>
        <w:t xml:space="preserve">Denying Native </w:t>
      </w:r>
      <w:proofErr w:type="gramStart"/>
      <w:r>
        <w:t>students</w:t>
      </w:r>
      <w:proofErr w:type="gramEnd"/>
      <w:r>
        <w:t xml:space="preserve"> the right to wear regalia is not only culturally insensitive but harmful and</w:t>
      </w:r>
      <w:r>
        <w:rPr>
          <w:spacing w:val="-5"/>
        </w:rPr>
        <w:t xml:space="preserve"> </w:t>
      </w:r>
      <w:r>
        <w:t>erases</w:t>
      </w:r>
      <w:r>
        <w:rPr>
          <w:spacing w:val="-6"/>
        </w:rPr>
        <w:t xml:space="preserve"> </w:t>
      </w:r>
      <w:r>
        <w:t>visibility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moments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pride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success.</w:t>
      </w:r>
      <w:r>
        <w:rPr>
          <w:spacing w:val="-9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urge</w:t>
      </w:r>
      <w:r>
        <w:rPr>
          <w:spacing w:val="-6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lawmakers across</w:t>
      </w:r>
      <w:r>
        <w:rPr>
          <w:spacing w:val="-6"/>
        </w:rPr>
        <w:t xml:space="preserve"> </w:t>
      </w:r>
      <w:r>
        <w:t>the country to stand in solidarity with Native communities and ensure</w:t>
      </w:r>
      <w:r>
        <w:rPr>
          <w:spacing w:val="-1"/>
        </w:rPr>
        <w:t xml:space="preserve"> </w:t>
      </w:r>
      <w:r>
        <w:t>that every Indigenous student has the right to fully express their heritage at milestone events that celebrate their academic</w:t>
      </w:r>
    </w:p>
    <w:p w14:paraId="7820ABBF" w14:textId="77777777" w:rsidR="00DD4425" w:rsidRDefault="00000000">
      <w:pPr>
        <w:pStyle w:val="BodyText"/>
        <w:spacing w:line="275" w:lineRule="exact"/>
        <w:ind w:left="355"/>
      </w:pPr>
      <w:r>
        <w:rPr>
          <w:spacing w:val="-2"/>
        </w:rPr>
        <w:t>journey.</w:t>
      </w:r>
    </w:p>
    <w:p w14:paraId="1869BED1" w14:textId="77777777" w:rsidR="00DD4425" w:rsidRDefault="00DD4425">
      <w:pPr>
        <w:pStyle w:val="BodyText"/>
        <w:spacing w:before="3"/>
      </w:pPr>
    </w:p>
    <w:p w14:paraId="2BCA184A" w14:textId="0A1AC97C" w:rsidR="00DD4425" w:rsidRDefault="00000000">
      <w:pPr>
        <w:pStyle w:val="BodyText"/>
        <w:ind w:left="346"/>
      </w:pPr>
      <w:r>
        <w:rPr>
          <w:spacing w:val="-2"/>
        </w:rPr>
        <w:t>Respectfully,</w:t>
      </w:r>
    </w:p>
    <w:p w14:paraId="0312A9DA" w14:textId="77C9BB3B" w:rsidR="00DD4425" w:rsidRDefault="00DD4425">
      <w:pPr>
        <w:pStyle w:val="BodyText"/>
      </w:pPr>
    </w:p>
    <w:p w14:paraId="7E0AB0EF" w14:textId="2470E6D3" w:rsidR="00DD4425" w:rsidRDefault="00000000" w:rsidP="00941837">
      <w:pPr>
        <w:pStyle w:val="BodyText"/>
        <w:spacing w:line="360" w:lineRule="auto"/>
        <w:ind w:left="346" w:right="4010"/>
      </w:pPr>
      <w:r>
        <w:t>The</w:t>
      </w:r>
      <w:r>
        <w:rPr>
          <w:spacing w:val="-12"/>
        </w:rPr>
        <w:t xml:space="preserve"> </w:t>
      </w:r>
      <w:r>
        <w:t>Montana</w:t>
      </w:r>
      <w:r>
        <w:rPr>
          <w:spacing w:val="-15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Indian</w:t>
      </w:r>
      <w:r>
        <w:rPr>
          <w:spacing w:val="-7"/>
        </w:rPr>
        <w:t xml:space="preserve"> </w:t>
      </w:r>
      <w:r>
        <w:t xml:space="preserve">Education </w:t>
      </w:r>
      <w:proofErr w:type="gramStart"/>
      <w:r>
        <w:t>The</w:t>
      </w:r>
      <w:proofErr w:type="gramEnd"/>
      <w:r>
        <w:t xml:space="preserve"> Montana Office of Public Instruction</w:t>
      </w:r>
    </w:p>
    <w:p w14:paraId="163BBC93" w14:textId="379E30C9" w:rsidR="00941837" w:rsidRDefault="00000000" w:rsidP="00941837">
      <w:pPr>
        <w:pStyle w:val="BodyText"/>
        <w:spacing w:line="360" w:lineRule="auto"/>
        <w:ind w:left="346"/>
        <w:rPr>
          <w:spacing w:val="-4"/>
        </w:rPr>
      </w:pPr>
      <w:r>
        <w:t>The</w:t>
      </w:r>
      <w:r>
        <w:rPr>
          <w:spacing w:val="-4"/>
        </w:rPr>
        <w:t xml:space="preserve"> </w:t>
      </w:r>
      <w:r>
        <w:t xml:space="preserve">OPI Indian Education </w:t>
      </w:r>
      <w:r>
        <w:rPr>
          <w:spacing w:val="-4"/>
        </w:rPr>
        <w:t>Unit</w:t>
      </w:r>
    </w:p>
    <w:p w14:paraId="2693C4C0" w14:textId="246D2600" w:rsidR="00941837" w:rsidRDefault="00941837" w:rsidP="00941837">
      <w:pPr>
        <w:pStyle w:val="BodyText"/>
        <w:spacing w:line="360" w:lineRule="auto"/>
        <w:ind w:left="346"/>
        <w:rPr>
          <w:spacing w:val="-4"/>
        </w:rPr>
      </w:pPr>
      <w:r>
        <w:rPr>
          <w:spacing w:val="-4"/>
        </w:rPr>
        <w:t>The Montana Board of Public Education</w:t>
      </w:r>
    </w:p>
    <w:p w14:paraId="7381DBD8" w14:textId="671DB7F6" w:rsidR="00941837" w:rsidRDefault="00941837" w:rsidP="00941837">
      <w:pPr>
        <w:pStyle w:val="BodyText"/>
        <w:spacing w:line="271" w:lineRule="exact"/>
      </w:pPr>
    </w:p>
    <w:p w14:paraId="674ED955" w14:textId="7723D65D" w:rsidR="00DD4425" w:rsidRDefault="00941837">
      <w:pPr>
        <w:pStyle w:val="BodyText"/>
        <w:spacing w:before="5"/>
        <w:rPr>
          <w:sz w:val="13"/>
        </w:rPr>
      </w:pPr>
      <w:r>
        <w:rPr>
          <w:noProof/>
          <w:sz w:val="13"/>
        </w:rPr>
        <w:drawing>
          <wp:anchor distT="0" distB="0" distL="114300" distR="114300" simplePos="0" relativeHeight="251670016" behindDoc="1" locked="0" layoutInCell="1" allowOverlap="1" wp14:anchorId="5D733B50" wp14:editId="4D3AE42C">
            <wp:simplePos x="0" y="0"/>
            <wp:positionH relativeFrom="column">
              <wp:posOffset>5291455</wp:posOffset>
            </wp:positionH>
            <wp:positionV relativeFrom="paragraph">
              <wp:posOffset>143510</wp:posOffset>
            </wp:positionV>
            <wp:extent cx="1627632" cy="1633232"/>
            <wp:effectExtent l="0" t="0" r="0" b="5080"/>
            <wp:wrapTight wrapText="bothSides">
              <wp:wrapPolygon edited="0">
                <wp:start x="7838" y="0"/>
                <wp:lineTo x="6321" y="252"/>
                <wp:lineTo x="1517" y="3527"/>
                <wp:lineTo x="253" y="6551"/>
                <wp:lineTo x="0" y="7558"/>
                <wp:lineTo x="0" y="13857"/>
                <wp:lineTo x="758" y="16376"/>
                <wp:lineTo x="4298" y="20156"/>
                <wp:lineTo x="7332" y="21415"/>
                <wp:lineTo x="7585" y="21415"/>
                <wp:lineTo x="13653" y="21415"/>
                <wp:lineTo x="13906" y="21415"/>
                <wp:lineTo x="16940" y="20156"/>
                <wp:lineTo x="20479" y="16124"/>
                <wp:lineTo x="21238" y="13857"/>
                <wp:lineTo x="21238" y="7558"/>
                <wp:lineTo x="20732" y="6047"/>
                <wp:lineTo x="19721" y="3527"/>
                <wp:lineTo x="14917" y="252"/>
                <wp:lineTo x="13400" y="0"/>
                <wp:lineTo x="7838" y="0"/>
              </wp:wrapPolygon>
            </wp:wrapTight>
            <wp:docPr id="11122078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632" cy="163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3"/>
        </w:rPr>
        <w:drawing>
          <wp:anchor distT="0" distB="0" distL="114300" distR="114300" simplePos="0" relativeHeight="251662848" behindDoc="1" locked="0" layoutInCell="1" allowOverlap="1" wp14:anchorId="6A900523" wp14:editId="67505CC0">
            <wp:simplePos x="0" y="0"/>
            <wp:positionH relativeFrom="column">
              <wp:posOffset>0</wp:posOffset>
            </wp:positionH>
            <wp:positionV relativeFrom="paragraph">
              <wp:posOffset>140970</wp:posOffset>
            </wp:positionV>
            <wp:extent cx="1627632" cy="1621249"/>
            <wp:effectExtent l="0" t="0" r="0" b="0"/>
            <wp:wrapTight wrapText="bothSides">
              <wp:wrapPolygon edited="0">
                <wp:start x="9102" y="0"/>
                <wp:lineTo x="7079" y="508"/>
                <wp:lineTo x="2023" y="3300"/>
                <wp:lineTo x="2023" y="4315"/>
                <wp:lineTo x="1011" y="6092"/>
                <wp:lineTo x="0" y="8376"/>
                <wp:lineTo x="0" y="12437"/>
                <wp:lineTo x="1770" y="16498"/>
                <wp:lineTo x="1770" y="17006"/>
                <wp:lineTo x="6321" y="20559"/>
                <wp:lineTo x="7838" y="21321"/>
                <wp:lineTo x="13400" y="21321"/>
                <wp:lineTo x="14917" y="20559"/>
                <wp:lineTo x="19468" y="17006"/>
                <wp:lineTo x="19468" y="16498"/>
                <wp:lineTo x="21238" y="12437"/>
                <wp:lineTo x="21238" y="8376"/>
                <wp:lineTo x="19468" y="3553"/>
                <wp:lineTo x="14158" y="508"/>
                <wp:lineTo x="12136" y="0"/>
                <wp:lineTo x="9102" y="0"/>
              </wp:wrapPolygon>
            </wp:wrapTight>
            <wp:docPr id="806566742" name="Picture 1" descr="A picture containing text, d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66742" name="Picture 1" descr="A picture containing text, dark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27" t="15914" r="29321" b="14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632" cy="1621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13"/>
        </w:rPr>
        <w:drawing>
          <wp:anchor distT="0" distB="0" distL="0" distR="0" simplePos="0" relativeHeight="251654656" behindDoc="1" locked="0" layoutInCell="1" allowOverlap="1" wp14:anchorId="5B896D7B" wp14:editId="06960F3E">
            <wp:simplePos x="0" y="0"/>
            <wp:positionH relativeFrom="page">
              <wp:posOffset>4279900</wp:posOffset>
            </wp:positionH>
            <wp:positionV relativeFrom="paragraph">
              <wp:posOffset>138430</wp:posOffset>
            </wp:positionV>
            <wp:extent cx="1627632" cy="160934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3"/>
        </w:rPr>
        <w:drawing>
          <wp:anchor distT="0" distB="0" distL="0" distR="0" simplePos="0" relativeHeight="251649536" behindDoc="1" locked="0" layoutInCell="1" allowOverlap="1" wp14:anchorId="3991A62A" wp14:editId="45D37F76">
            <wp:simplePos x="0" y="0"/>
            <wp:positionH relativeFrom="page">
              <wp:posOffset>2427605</wp:posOffset>
            </wp:positionH>
            <wp:positionV relativeFrom="paragraph">
              <wp:posOffset>135890</wp:posOffset>
            </wp:positionV>
            <wp:extent cx="1626108" cy="160515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108" cy="1605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4425">
      <w:type w:val="continuous"/>
      <w:pgSz w:w="12240" w:h="15840"/>
      <w:pgMar w:top="7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425"/>
    <w:rsid w:val="00941822"/>
    <w:rsid w:val="00941837"/>
    <w:rsid w:val="00DD4425"/>
    <w:rsid w:val="00E0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17BBC"/>
  <w15:docId w15:val="{E687137D-855B-4298-8BEB-BACBF8ED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rchive.legmt.gov/bills/mca/title_0020/chapter_0010/part_0030/section_0150/0020-0010-0030-0150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1D0CC-0F98-438E-B43F-4FF607FE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>State of Montana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Jordann Lankford</dc:creator>
  <cp:lastModifiedBy>Capece, Tyler</cp:lastModifiedBy>
  <cp:revision>2</cp:revision>
  <dcterms:created xsi:type="dcterms:W3CDTF">2025-11-26T15:24:00Z</dcterms:created>
  <dcterms:modified xsi:type="dcterms:W3CDTF">2025-11-26T15:24:00Z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for Microsoft 365</vt:lpwstr>
  </property>
</Properties>
</file>